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volené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color w:val="1a0952"/>
          <w:sz w:val="24"/>
          <w:szCs w:val="24"/>
          <w:rtl w:val="0"/>
        </w:rPr>
      </w:pPr>
      <w:r>
        <w:rPr>
          <w:sz w:val="24"/>
          <w:szCs w:val="24"/>
          <w:rtl w:val="0"/>
        </w:rPr>
        <w:drawing>
          <wp:inline distT="0" distB="0" distL="0" distR="0">
            <wp:extent cx="2324100" cy="9779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 Graphic 1.png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>
      <w:pPr>
        <w:pStyle w:val="Predvolené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color w:val="1a0952"/>
          <w:sz w:val="24"/>
          <w:szCs w:val="24"/>
          <w:rtl w:val="0"/>
        </w:rPr>
      </w:pPr>
      <w:r>
        <w:rPr>
          <w:rFonts w:ascii="Helvetica"/>
          <w:color w:val="1a0952"/>
          <w:sz w:val="24"/>
          <w:szCs w:val="24"/>
          <w:rtl w:val="0"/>
        </w:rPr>
        <w:t>___________________________________________________________________</w:t>
      </w:r>
    </w:p>
    <w:p>
      <w:pPr>
        <w:pStyle w:val="Predvolené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color w:val="1a0952"/>
          <w:sz w:val="24"/>
          <w:szCs w:val="24"/>
          <w:rtl w:val="0"/>
        </w:rPr>
      </w:pPr>
    </w:p>
    <w:p>
      <w:pPr>
        <w:pStyle w:val="Predvolené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center"/>
        <w:rPr>
          <w:b w:val="1"/>
          <w:bCs w:val="1"/>
          <w:color w:val="1a0952"/>
          <w:sz w:val="28"/>
          <w:szCs w:val="28"/>
          <w:rtl w:val="0"/>
        </w:rPr>
      </w:pPr>
      <w:r>
        <w:rPr>
          <w:rFonts w:ascii="Helvetica"/>
          <w:b w:val="1"/>
          <w:bCs w:val="1"/>
          <w:color w:val="1a0952"/>
          <w:sz w:val="28"/>
          <w:szCs w:val="28"/>
          <w:rtl w:val="0"/>
        </w:rPr>
        <w:t>Cenn</w:t>
      </w:r>
      <w:r>
        <w:rPr>
          <w:rFonts w:hAnsi="Helvetica" w:hint="default"/>
          <w:b w:val="1"/>
          <w:bCs w:val="1"/>
          <w:color w:val="1a0952"/>
          <w:sz w:val="28"/>
          <w:szCs w:val="28"/>
          <w:rtl w:val="0"/>
        </w:rPr>
        <w:t>í</w:t>
      </w:r>
      <w:r>
        <w:rPr>
          <w:rFonts w:ascii="Helvetica"/>
          <w:b w:val="1"/>
          <w:bCs w:val="1"/>
          <w:color w:val="1a0952"/>
          <w:sz w:val="28"/>
          <w:szCs w:val="28"/>
          <w:rtl w:val="0"/>
        </w:rPr>
        <w:t>k</w:t>
      </w:r>
    </w:p>
    <w:p>
      <w:pPr>
        <w:pStyle w:val="Predvolené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center"/>
        <w:rPr>
          <w:b w:val="1"/>
          <w:bCs w:val="1"/>
          <w:color w:val="1a0952"/>
          <w:sz w:val="28"/>
          <w:szCs w:val="28"/>
          <w:rtl w:val="0"/>
        </w:rPr>
      </w:pPr>
      <w:r>
        <w:rPr>
          <w:rFonts w:ascii="Helvetica"/>
          <w:b w:val="1"/>
          <w:bCs w:val="1"/>
          <w:color w:val="1a0952"/>
          <w:sz w:val="28"/>
          <w:szCs w:val="28"/>
          <w:rtl w:val="0"/>
        </w:rPr>
        <w:t>platn</w:t>
      </w:r>
      <w:r>
        <w:rPr>
          <w:rFonts w:hAnsi="Helvetica" w:hint="default"/>
          <w:b w:val="1"/>
          <w:bCs w:val="1"/>
          <w:color w:val="1a0952"/>
          <w:sz w:val="28"/>
          <w:szCs w:val="28"/>
          <w:rtl w:val="0"/>
        </w:rPr>
        <w:t xml:space="preserve">ý </w:t>
      </w:r>
      <w:r>
        <w:rPr>
          <w:rFonts w:ascii="Helvetica"/>
          <w:b w:val="1"/>
          <w:bCs w:val="1"/>
          <w:color w:val="1a0952"/>
          <w:sz w:val="28"/>
          <w:szCs w:val="28"/>
          <w:rtl w:val="0"/>
        </w:rPr>
        <w:t>od 1.1.2014</w:t>
      </w:r>
    </w:p>
    <w:p>
      <w:pPr>
        <w:pStyle w:val="Predvolené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center"/>
        <w:rPr>
          <w:b w:val="1"/>
          <w:bCs w:val="1"/>
          <w:color w:val="1a0952"/>
          <w:sz w:val="28"/>
          <w:szCs w:val="28"/>
          <w:rtl w:val="0"/>
        </w:rPr>
      </w:pPr>
    </w:p>
    <w:p>
      <w:pPr>
        <w:pStyle w:val="Predvolené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color w:val="1a0952"/>
          <w:sz w:val="24"/>
          <w:szCs w:val="24"/>
          <w:rtl w:val="0"/>
        </w:rPr>
      </w:pPr>
    </w:p>
    <w:tbl>
      <w:tblPr>
        <w:tblW w:w="963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06"/>
        <w:gridCol w:w="1606"/>
        <w:gridCol w:w="1606"/>
        <w:gridCol w:w="1607"/>
        <w:gridCol w:w="1606"/>
        <w:gridCol w:w="1606"/>
      </w:tblGrid>
      <w:tr>
        <w:tblPrEx>
          <w:shd w:val="clear" w:color="auto" w:fill="auto"/>
        </w:tblPrEx>
        <w:trPr>
          <w:trHeight w:val="280" w:hRule="atLeast"/>
        </w:trPr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t>Junior (6-8 rokov)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t>9 - 12 rokov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t>13 - 15 rokov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t>16 - 19 rokov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t>Dospel</w:t>
            </w:r>
            <w:r>
              <w:t>í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t>Anglick</w:t>
            </w:r>
            <w:r>
              <w:t xml:space="preserve">ý </w:t>
            </w:r>
            <w:r>
              <w:t>jazyk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2,69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2,90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2,99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3,35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3,45</w:t>
            </w:r>
          </w:p>
        </w:tc>
      </w:tr>
      <w:tr>
        <w:tblPrEx>
          <w:shd w:val="clear" w:color="auto" w:fill="auto"/>
        </w:tblPrEx>
        <w:trPr>
          <w:trHeight w:val="245" w:hRule="atLeast"/>
        </w:trPr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t>Š</w:t>
            </w:r>
            <w:r>
              <w:t>panielsky jazyk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2,89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2,99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3,35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3,45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3,45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  <w:bidi w:val="0"/>
            </w:pPr>
            <w:r>
              <w:t>Rusk</w:t>
            </w:r>
            <w:r>
              <w:t xml:space="preserve">ý </w:t>
            </w:r>
            <w:r>
              <w:t>jazyk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2,89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2,99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3,35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3,45</w:t>
            </w:r>
          </w:p>
        </w:tc>
        <w:tc>
          <w:tcPr>
            <w:tcW w:type="dxa" w:w="16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vertAlign w:val="baseline"/>
              </w:rPr>
              <w:t>3,45</w:t>
            </w:r>
          </w:p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9637"/>
            <w:gridSpan w:val="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t>Uveden</w:t>
            </w:r>
            <w:r>
              <w:t xml:space="preserve">é </w:t>
            </w:r>
            <w:r>
              <w:t>ceny s</w:t>
            </w:r>
            <w:r>
              <w:t xml:space="preserve">ú </w:t>
            </w:r>
            <w:r>
              <w:t>za 60</w:t>
            </w:r>
            <w:r>
              <w:t xml:space="preserve">’ </w:t>
            </w:r>
            <w:r>
              <w:t>vyu</w:t>
            </w:r>
            <w:r>
              <w:t>č</w:t>
            </w:r>
            <w:r>
              <w:t xml:space="preserve">ovaciu hodinu. </w:t>
            </w:r>
          </w:p>
          <w:p>
            <w:r>
              <w:t>Ceny s</w:t>
            </w:r>
            <w:r>
              <w:t xml:space="preserve">ú </w:t>
            </w:r>
            <w:r>
              <w:t>vr</w:t>
            </w:r>
            <w:r>
              <w:t>á</w:t>
            </w:r>
            <w:r>
              <w:t>tane DPH.</w:t>
            </w:r>
          </w:p>
          <w:p>
            <w:pPr>
              <w:pStyle w:val="Štýl tabuľky 2"/>
              <w:bidi w:val="0"/>
            </w:pPr>
            <w:r>
              <w:t>Cen kurzu sa vypo</w:t>
            </w:r>
            <w:r>
              <w:t>čí</w:t>
            </w:r>
            <w:r>
              <w:t>ta ako n</w:t>
            </w:r>
            <w:r>
              <w:t>á</w:t>
            </w:r>
            <w:r>
              <w:t>sobok po</w:t>
            </w:r>
            <w:r>
              <w:t>č</w:t>
            </w:r>
            <w:r>
              <w:t>tu hod</w:t>
            </w:r>
            <w:r>
              <w:t>í</w:t>
            </w:r>
            <w:r>
              <w:t>n v danom trimestri (pod</w:t>
            </w:r>
            <w:r>
              <w:t>ľ</w:t>
            </w:r>
            <w:r>
              <w:t>a pridelenej skupiny) a ceny za vyu</w:t>
            </w:r>
            <w:r>
              <w:t>č</w:t>
            </w:r>
            <w:r>
              <w:t>. hodinu.</w:t>
            </w:r>
          </w:p>
        </w:tc>
      </w:tr>
    </w:tbl>
    <w:p>
      <w:pPr>
        <w:pStyle w:val="Predvolené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tl w:val="0"/>
        </w:rPr>
      </w:pP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Štýl tabuľky 2">
    <w:name w:val="Štýl tabuľky 2"/>
    <w:next w:val="Štýl tabuľ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header" Target="header.xml"/><Relationship Id="rId6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